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6CF1CB75"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w:t>
      </w:r>
      <w:r w:rsidR="00677702">
        <w:rPr>
          <w:rFonts w:ascii="Arial" w:eastAsia="Arial" w:hAnsi="Arial" w:cs="Arial"/>
          <w:b/>
          <w:bCs/>
          <w:color w:val="808080" w:themeColor="background1" w:themeShade="80"/>
          <w:sz w:val="25"/>
          <w:szCs w:val="25"/>
        </w:rPr>
        <w:t>369</w:t>
      </w:r>
    </w:p>
    <w:p w14:paraId="6F527427" w14:textId="6536D7E5"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rsidR="00677702">
        <w:rPr>
          <w:rFonts w:ascii="Arial" w:eastAsia="MS Mincho" w:hAnsi="Arial" w:cs="Arial"/>
          <w:b/>
          <w:bCs/>
          <w:sz w:val="24"/>
          <w:szCs w:val="24"/>
          <w:lang w:eastAsia="ja-JP"/>
        </w:rPr>
        <w:tab/>
      </w:r>
      <w:r w:rsidR="00677702" w:rsidRPr="001C332D">
        <w:rPr>
          <w:rFonts w:ascii="Arial" w:eastAsia="MS Mincho" w:hAnsi="Arial" w:cs="Arial"/>
          <w:i/>
          <w:sz w:val="24"/>
          <w:szCs w:val="24"/>
          <w:lang w:eastAsia="ja-JP"/>
        </w:rPr>
        <w:t>(revision of S1-</w:t>
      </w:r>
      <w:r w:rsidR="00677702">
        <w:rPr>
          <w:rFonts w:ascii="Arial" w:eastAsia="MS Mincho" w:hAnsi="Arial" w:cs="Arial"/>
          <w:i/>
          <w:sz w:val="24"/>
          <w:szCs w:val="24"/>
          <w:lang w:eastAsia="ja-JP"/>
        </w:rPr>
        <w:t>24</w:t>
      </w:r>
      <w:r w:rsidR="00677702">
        <w:rPr>
          <w:rFonts w:ascii="Arial" w:eastAsia="MS Mincho" w:hAnsi="Arial" w:cs="Arial"/>
          <w:i/>
          <w:sz w:val="24"/>
          <w:szCs w:val="24"/>
          <w:lang w:eastAsia="ja-JP"/>
        </w:rPr>
        <w:t>22</w:t>
      </w:r>
      <w:r w:rsidR="00677702">
        <w:rPr>
          <w:rFonts w:ascii="Arial" w:eastAsia="MS Mincho" w:hAnsi="Arial" w:cs="Arial"/>
          <w:i/>
          <w:sz w:val="24"/>
          <w:szCs w:val="24"/>
          <w:lang w:eastAsia="ja-JP"/>
        </w:rPr>
        <w:t>81</w:t>
      </w:r>
      <w:r w:rsidR="00677702" w:rsidRPr="001C332D">
        <w:rPr>
          <w:rFonts w:ascii="Arial" w:eastAsia="MS Mincho" w:hAnsi="Arial" w:cs="Arial"/>
          <w:i/>
          <w:sz w:val="24"/>
          <w:szCs w:val="24"/>
          <w:lang w:eastAsia="ja-JP"/>
        </w:rPr>
        <w:t>)</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14632C1" w:rsidR="00B4181D" w:rsidRPr="00597D35" w:rsidRDefault="00B4181D" w:rsidP="00B4181D">
      <w:pPr>
        <w:tabs>
          <w:tab w:val="left" w:pos="1701"/>
        </w:tabs>
        <w:overflowPunct w:val="0"/>
        <w:autoSpaceDE w:val="0"/>
        <w:autoSpaceDN w:val="0"/>
        <w:adjustRightInd w:val="0"/>
        <w:textAlignment w:val="baseline"/>
        <w:rPr>
          <w:rFonts w:ascii="Arial" w:eastAsia="SimSun" w:hAnsi="Arial"/>
          <w:sz w:val="24"/>
          <w:szCs w:val="24"/>
          <w:lang w:val="x-none"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97D35" w:rsidRPr="00597D35">
        <w:rPr>
          <w:rFonts w:ascii="Arial" w:eastAsia="SimSun" w:hAnsi="Arial"/>
          <w:sz w:val="24"/>
          <w:szCs w:val="24"/>
          <w:lang w:eastAsia="en-GB"/>
        </w:rPr>
        <w:t>Use case on using GEO for sleep/power management</w:t>
      </w:r>
    </w:p>
    <w:p w14:paraId="4DF987E2" w14:textId="77777777" w:rsidR="00B4181D" w:rsidRPr="00677702"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677702">
        <w:rPr>
          <w:rFonts w:ascii="Arial" w:eastAsia="SimSun" w:hAnsi="Arial"/>
          <w:sz w:val="24"/>
          <w:szCs w:val="24"/>
          <w:lang w:val="fr-FR" w:eastAsia="en-GB"/>
        </w:rPr>
        <w:t>Agenda Item:</w:t>
      </w:r>
      <w:r w:rsidRPr="00677702">
        <w:rPr>
          <w:rFonts w:ascii="Arial" w:eastAsia="SimSun" w:hAnsi="Arial"/>
          <w:sz w:val="24"/>
          <w:szCs w:val="24"/>
          <w:lang w:val="fr-FR" w:eastAsia="en-GB"/>
        </w:rPr>
        <w:tab/>
      </w:r>
      <w:r w:rsidR="00756E9C" w:rsidRPr="00677702">
        <w:rPr>
          <w:rFonts w:ascii="Arial" w:eastAsia="SimSun" w:hAnsi="Arial"/>
          <w:sz w:val="24"/>
          <w:szCs w:val="24"/>
          <w:lang w:val="fr-FR" w:eastAsia="en-GB"/>
        </w:rPr>
        <w:t>7.3</w:t>
      </w:r>
    </w:p>
    <w:p w14:paraId="78DEBE4B" w14:textId="45BA0CAD" w:rsidR="00B4181D" w:rsidRPr="003D2AC4"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3D2AC4">
        <w:rPr>
          <w:rFonts w:ascii="Arial" w:eastAsia="SimSun" w:hAnsi="Arial"/>
          <w:sz w:val="24"/>
          <w:szCs w:val="24"/>
          <w:lang w:val="fr-FR" w:eastAsia="en-GB"/>
        </w:rPr>
        <w:t>Source:</w:t>
      </w:r>
      <w:r w:rsidR="00756E9C" w:rsidRPr="003D2AC4">
        <w:rPr>
          <w:rFonts w:ascii="Arial" w:eastAsia="SimSun" w:hAnsi="Arial"/>
          <w:sz w:val="24"/>
          <w:szCs w:val="24"/>
          <w:lang w:val="fr-FR" w:eastAsia="en-GB"/>
        </w:rPr>
        <w:tab/>
      </w:r>
      <w:proofErr w:type="spellStart"/>
      <w:r w:rsidR="00627436" w:rsidRPr="003D2AC4">
        <w:rPr>
          <w:rFonts w:ascii="Arial" w:eastAsia="SimSun" w:hAnsi="Arial"/>
          <w:sz w:val="24"/>
          <w:szCs w:val="24"/>
          <w:lang w:val="fr-FR" w:eastAsia="en-GB"/>
        </w:rPr>
        <w:t>Viasat</w:t>
      </w:r>
      <w:proofErr w:type="spellEnd"/>
      <w:r w:rsidR="00627436" w:rsidRPr="003D2AC4">
        <w:rPr>
          <w:rFonts w:ascii="Arial" w:eastAsia="SimSun" w:hAnsi="Arial"/>
          <w:sz w:val="24"/>
          <w:szCs w:val="24"/>
          <w:lang w:val="fr-FR" w:eastAsia="en-GB"/>
        </w:rPr>
        <w:t xml:space="preserve"> Inc.</w:t>
      </w:r>
      <w:r w:rsidR="00597D35" w:rsidRPr="003D2AC4">
        <w:rPr>
          <w:rFonts w:ascii="Arial" w:eastAsia="SimSun" w:hAnsi="Arial"/>
          <w:sz w:val="24"/>
          <w:szCs w:val="24"/>
          <w:lang w:val="fr-FR" w:eastAsia="en-GB"/>
        </w:rPr>
        <w:t>,</w:t>
      </w:r>
      <w:r w:rsidR="00EF685E" w:rsidRPr="003D2AC4">
        <w:rPr>
          <w:rFonts w:ascii="Arial" w:eastAsia="SimSun" w:hAnsi="Arial"/>
          <w:sz w:val="24"/>
          <w:szCs w:val="24"/>
          <w:lang w:val="fr-FR" w:eastAsia="en-GB"/>
        </w:rPr>
        <w:t xml:space="preserve"> </w:t>
      </w:r>
      <w:proofErr w:type="spellStart"/>
      <w:r w:rsidR="00EF685E" w:rsidRPr="003D2AC4">
        <w:rPr>
          <w:rFonts w:ascii="Arial" w:eastAsia="SimSun" w:hAnsi="Arial"/>
          <w:sz w:val="24"/>
          <w:szCs w:val="24"/>
          <w:lang w:val="fr-FR" w:eastAsia="en-GB"/>
        </w:rPr>
        <w:t>Inmarsat</w:t>
      </w:r>
      <w:proofErr w:type="spellEnd"/>
      <w:r w:rsidR="00EF685E" w:rsidRPr="003D2AC4">
        <w:rPr>
          <w:rFonts w:ascii="Arial" w:eastAsia="SimSun" w:hAnsi="Arial"/>
          <w:sz w:val="24"/>
          <w:szCs w:val="24"/>
          <w:lang w:val="fr-FR" w:eastAsia="en-GB"/>
        </w:rPr>
        <w:t>,</w:t>
      </w:r>
      <w:r w:rsidR="00597D35" w:rsidRPr="003D2AC4">
        <w:rPr>
          <w:rFonts w:ascii="Arial" w:eastAsia="SimSun" w:hAnsi="Arial"/>
          <w:sz w:val="24"/>
          <w:szCs w:val="24"/>
          <w:lang w:val="fr-FR" w:eastAsia="en-GB"/>
        </w:rPr>
        <w:t xml:space="preserve"> </w:t>
      </w:r>
      <w:r w:rsidR="00AB0B05">
        <w:rPr>
          <w:rFonts w:ascii="Arial" w:eastAsia="SimSun" w:hAnsi="Arial"/>
          <w:sz w:val="24"/>
          <w:szCs w:val="24"/>
          <w:lang w:val="fr-FR" w:eastAsia="en-GB"/>
        </w:rPr>
        <w:t>Novamint, SES</w:t>
      </w:r>
    </w:p>
    <w:p w14:paraId="1437313E" w14:textId="0D16059C" w:rsidR="00B4181D" w:rsidRPr="00677702" w:rsidRDefault="00B4181D" w:rsidP="00597D35">
      <w:pPr>
        <w:tabs>
          <w:tab w:val="left" w:pos="1701"/>
        </w:tabs>
        <w:overflowPunct w:val="0"/>
        <w:autoSpaceDE w:val="0"/>
        <w:autoSpaceDN w:val="0"/>
        <w:adjustRightInd w:val="0"/>
        <w:ind w:left="1700" w:hanging="1700"/>
        <w:textAlignment w:val="baseline"/>
        <w:rPr>
          <w:rFonts w:ascii="Arial" w:eastAsia="SimSun" w:hAnsi="Arial"/>
          <w:sz w:val="24"/>
          <w:szCs w:val="24"/>
          <w:lang w:val="en-US" w:eastAsia="en-GB"/>
        </w:rPr>
      </w:pPr>
      <w:r w:rsidRPr="00677702">
        <w:rPr>
          <w:rFonts w:ascii="Arial" w:eastAsia="SimSun" w:hAnsi="Arial"/>
          <w:sz w:val="24"/>
          <w:szCs w:val="24"/>
          <w:lang w:val="en-US" w:eastAsia="en-GB"/>
        </w:rPr>
        <w:t>Contact:</w:t>
      </w:r>
      <w:r w:rsidRPr="00677702">
        <w:rPr>
          <w:rFonts w:ascii="Arial" w:eastAsia="SimSun" w:hAnsi="Arial"/>
          <w:sz w:val="24"/>
          <w:szCs w:val="24"/>
          <w:lang w:val="en-US" w:eastAsia="en-GB"/>
        </w:rPr>
        <w:tab/>
      </w:r>
      <w:r w:rsidR="00597D35" w:rsidRPr="00677702">
        <w:rPr>
          <w:rFonts w:ascii="Arial" w:eastAsia="SimSun" w:hAnsi="Arial"/>
          <w:sz w:val="24"/>
          <w:szCs w:val="24"/>
          <w:lang w:val="en-US" w:eastAsia="en-GB"/>
        </w:rPr>
        <w:tab/>
      </w:r>
      <w:r w:rsidR="00627436" w:rsidRPr="00677702">
        <w:rPr>
          <w:rFonts w:ascii="Arial" w:eastAsia="SimSun" w:hAnsi="Arial"/>
          <w:sz w:val="24"/>
          <w:szCs w:val="24"/>
          <w:lang w:val="en-US" w:eastAsia="en-GB"/>
        </w:rPr>
        <w:t xml:space="preserve">Nandan Das </w:t>
      </w:r>
      <w:hyperlink r:id="rId8" w:history="1">
        <w:r w:rsidR="00627436" w:rsidRPr="00677702">
          <w:rPr>
            <w:rStyle w:val="Hyperlink"/>
            <w:rFonts w:ascii="Arial" w:eastAsia="SimSun" w:hAnsi="Arial"/>
            <w:sz w:val="24"/>
            <w:szCs w:val="24"/>
            <w:lang w:val="en-US" w:eastAsia="en-GB"/>
          </w:rPr>
          <w:t>Nandan.das@viasat.com</w:t>
        </w:r>
      </w:hyperlink>
      <w:r w:rsidR="00627436" w:rsidRPr="00677702">
        <w:rPr>
          <w:rFonts w:ascii="Arial" w:eastAsia="SimSun" w:hAnsi="Arial"/>
          <w:sz w:val="24"/>
          <w:szCs w:val="24"/>
          <w:lang w:val="en-US" w:eastAsia="en-GB"/>
        </w:rPr>
        <w:br/>
        <w:t xml:space="preserve">Jim </w:t>
      </w:r>
      <w:proofErr w:type="spellStart"/>
      <w:r w:rsidR="00627436" w:rsidRPr="00677702">
        <w:rPr>
          <w:rFonts w:ascii="Arial" w:eastAsia="SimSun" w:hAnsi="Arial"/>
          <w:sz w:val="24"/>
          <w:szCs w:val="24"/>
          <w:lang w:val="en-US" w:eastAsia="en-GB"/>
        </w:rPr>
        <w:t>Petranovich</w:t>
      </w:r>
      <w:proofErr w:type="spellEnd"/>
      <w:r w:rsidR="00627436" w:rsidRPr="00677702">
        <w:rPr>
          <w:rFonts w:ascii="Arial" w:eastAsia="SimSun" w:hAnsi="Arial"/>
          <w:sz w:val="24"/>
          <w:szCs w:val="24"/>
          <w:lang w:val="en-US" w:eastAsia="en-GB"/>
        </w:rPr>
        <w:t xml:space="preserve"> jim.petranovich@viasat.com</w:t>
      </w:r>
      <w:r w:rsidRPr="00677702">
        <w:rPr>
          <w:rFonts w:ascii="Arial" w:eastAsia="SimSun" w:hAnsi="Arial"/>
          <w:sz w:val="24"/>
          <w:szCs w:val="24"/>
          <w:lang w:val="en-US" w:eastAsia="en-GB"/>
        </w:rPr>
        <w:t xml:space="preserve"> </w:t>
      </w:r>
    </w:p>
    <w:p w14:paraId="2468E3E1" w14:textId="77777777" w:rsidR="00B4181D" w:rsidRPr="00677702" w:rsidRDefault="00B4181D" w:rsidP="00B4181D">
      <w:pPr>
        <w:pBdr>
          <w:bottom w:val="single" w:sz="6" w:space="1" w:color="auto"/>
        </w:pBdr>
        <w:spacing w:after="0"/>
        <w:rPr>
          <w:rFonts w:eastAsia="MS Mincho"/>
          <w:sz w:val="24"/>
          <w:szCs w:val="24"/>
          <w:lang w:val="en-US" w:eastAsia="ja-JP"/>
        </w:rPr>
      </w:pPr>
    </w:p>
    <w:p w14:paraId="66FAE5BC" w14:textId="1CC5889F"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9768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2E737257" w:rsidR="00756E9C" w:rsidRPr="00756E9C" w:rsidRDefault="009E7D0B" w:rsidP="00756E9C">
      <w:pPr>
        <w:rPr>
          <w:rFonts w:eastAsia="Calibri"/>
        </w:rPr>
      </w:pPr>
      <w:r w:rsidRPr="24EF730C">
        <w:rPr>
          <w:rFonts w:eastAsia="Calibri"/>
        </w:rPr>
        <w:t xml:space="preserve">In this paper, we describe </w:t>
      </w:r>
      <w:r w:rsidR="00E13DD8">
        <w:rPr>
          <w:rFonts w:eastAsia="Calibri"/>
        </w:rPr>
        <w:t xml:space="preserve">one of the </w:t>
      </w:r>
      <w:r w:rsidRPr="24EF730C">
        <w:rPr>
          <w:rFonts w:eastAsia="Calibri"/>
        </w:rPr>
        <w:t>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611EC6E9" w14:textId="7926E987" w:rsidR="00992137" w:rsidRPr="000D6532" w:rsidRDefault="00570AE6" w:rsidP="00583586">
      <w:pPr>
        <w:pStyle w:val="Heading2"/>
      </w:pPr>
      <w:r>
        <w:t>2</w:t>
      </w:r>
      <w:r w:rsidR="00992137">
        <w:t>.</w:t>
      </w:r>
      <w:r w:rsidR="21EBDA3F">
        <w:t>5</w:t>
      </w:r>
      <w:r>
        <w:tab/>
      </w:r>
      <w:r w:rsidR="00992137">
        <w:t>Use case on using GEO for sleep/power management</w:t>
      </w:r>
    </w:p>
    <w:p w14:paraId="74C1BC85" w14:textId="66A70488" w:rsidR="00992137" w:rsidRDefault="00570AE6" w:rsidP="00992137">
      <w:pPr>
        <w:pStyle w:val="Heading3"/>
        <w:rPr>
          <w:lang w:val="en-GB"/>
        </w:rPr>
      </w:pPr>
      <w:r w:rsidRPr="24EF730C">
        <w:rPr>
          <w:lang w:val="en-GB"/>
        </w:rPr>
        <w:t>2</w:t>
      </w:r>
      <w:r w:rsidR="00992137" w:rsidRPr="24EF730C">
        <w:rPr>
          <w:lang w:val="en-GB"/>
        </w:rPr>
        <w:t>.</w:t>
      </w:r>
      <w:r w:rsidR="008C5BB8" w:rsidRPr="24EF730C">
        <w:rPr>
          <w:lang w:val="en-GB"/>
        </w:rPr>
        <w:t>5</w:t>
      </w:r>
      <w:r w:rsidR="00992137" w:rsidRPr="24EF730C">
        <w:rPr>
          <w:lang w:val="en-GB"/>
        </w:rPr>
        <w:t>.1</w:t>
      </w:r>
      <w:r>
        <w:tab/>
      </w:r>
      <w:r w:rsidR="00992137" w:rsidRPr="24EF730C">
        <w:rPr>
          <w:lang w:val="en-GB"/>
        </w:rPr>
        <w:t>Description</w:t>
      </w:r>
    </w:p>
    <w:p w14:paraId="476A3F64" w14:textId="14AA23DB" w:rsidR="00403F49" w:rsidRDefault="00403F49" w:rsidP="00403F49">
      <w:r>
        <w:t>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GEO satellite can be very useful for these UEs.  The UE would only try to connect to a NGSO satellite if the GEO satellite told it to do so.  The GEO satellite would only tell the UEs to connect to the NGSO if the network informed the GEO that packets were waiting for the UE.  In cases where the UE needs to send a packet, it would either send it directly to the GEO, or request (via the GEO) resources from the network on a NGSO satellite.</w:t>
      </w:r>
    </w:p>
    <w:p w14:paraId="520EA995" w14:textId="194C65C2" w:rsidR="00992137" w:rsidRPr="000D6532" w:rsidRDefault="00570AE6" w:rsidP="00992137">
      <w:pPr>
        <w:pStyle w:val="Heading3"/>
        <w:rPr>
          <w:lang w:val="en-GB"/>
        </w:rPr>
      </w:pPr>
      <w:r w:rsidRPr="24EF730C">
        <w:rPr>
          <w:lang w:val="en-GB"/>
        </w:rPr>
        <w:t>2</w:t>
      </w:r>
      <w:r w:rsidR="00992137" w:rsidRPr="24EF730C">
        <w:rPr>
          <w:lang w:val="en-GB"/>
        </w:rPr>
        <w:t>.</w:t>
      </w:r>
      <w:r w:rsidR="78AD647D" w:rsidRPr="24EF730C">
        <w:rPr>
          <w:lang w:val="en-GB"/>
        </w:rPr>
        <w:t>5</w:t>
      </w:r>
      <w:r w:rsidR="00992137" w:rsidRPr="24EF730C">
        <w:rPr>
          <w:lang w:val="en-GB"/>
        </w:rPr>
        <w:t>.2</w:t>
      </w:r>
      <w:r>
        <w:tab/>
      </w:r>
      <w:r w:rsidR="00992137" w:rsidRPr="24EF730C">
        <w:rPr>
          <w:lang w:val="en-GB"/>
        </w:rPr>
        <w:t>Pre-conditions</w:t>
      </w:r>
    </w:p>
    <w:p w14:paraId="4F5BF6D7" w14:textId="77777777" w:rsidR="00597D35" w:rsidRDefault="00597D35" w:rsidP="00597D35">
      <w:pPr>
        <w:numPr>
          <w:ilvl w:val="0"/>
          <w:numId w:val="15"/>
        </w:numPr>
        <w:rPr>
          <w:rFonts w:eastAsia="Calibri"/>
        </w:rPr>
      </w:pPr>
      <w:r>
        <w:rPr>
          <w:rFonts w:eastAsia="Calibri"/>
        </w:rPr>
        <w:t>The network supports both GEO and NGSO satellites</w:t>
      </w:r>
    </w:p>
    <w:p w14:paraId="161967EE" w14:textId="77777777" w:rsidR="00597D35" w:rsidRDefault="00597D35" w:rsidP="00597D35">
      <w:pPr>
        <w:numPr>
          <w:ilvl w:val="0"/>
          <w:numId w:val="15"/>
        </w:numPr>
        <w:rPr>
          <w:rFonts w:eastAsia="Calibri"/>
        </w:rPr>
      </w:pPr>
      <w:r w:rsidRPr="3243BDAE">
        <w:rPr>
          <w:rFonts w:eastAsia="Calibri"/>
        </w:rPr>
        <w:t>The network supports handover between GEO satellite(s) and NGSO satellite(s)</w:t>
      </w:r>
    </w:p>
    <w:p w14:paraId="67B4D66C" w14:textId="77777777" w:rsidR="00597D35" w:rsidRDefault="00597D35" w:rsidP="00597D35">
      <w:pPr>
        <w:numPr>
          <w:ilvl w:val="0"/>
          <w:numId w:val="15"/>
        </w:numPr>
        <w:rPr>
          <w:rFonts w:eastAsia="Calibri"/>
        </w:rPr>
      </w:pPr>
      <w:r w:rsidRPr="3243BDAE">
        <w:rPr>
          <w:rFonts w:eastAsia="Calibri"/>
        </w:rPr>
        <w:t>UEs can close a link to both GEO and NGSO satellites</w:t>
      </w:r>
    </w:p>
    <w:p w14:paraId="1F92D995" w14:textId="77777777" w:rsidR="00597D35" w:rsidRDefault="00597D35" w:rsidP="00597D35">
      <w:pPr>
        <w:numPr>
          <w:ilvl w:val="0"/>
          <w:numId w:val="15"/>
        </w:numPr>
        <w:rPr>
          <w:rFonts w:eastAsia="Calibri"/>
        </w:rPr>
      </w:pPr>
      <w:r w:rsidRPr="3243BDAE">
        <w:rPr>
          <w:rFonts w:eastAsia="Calibri"/>
        </w:rPr>
        <w:t>UEs are able to handle the Doppler of NGSO satellites</w:t>
      </w:r>
    </w:p>
    <w:p w14:paraId="5FB1F5A1" w14:textId="77777777" w:rsidR="00597D35" w:rsidRDefault="00597D35" w:rsidP="00597D35">
      <w:pPr>
        <w:numPr>
          <w:ilvl w:val="0"/>
          <w:numId w:val="15"/>
        </w:numPr>
        <w:rPr>
          <w:rFonts w:eastAsia="Calibri"/>
        </w:rPr>
      </w:pPr>
      <w:r w:rsidRPr="3243BDAE">
        <w:rPr>
          <w:rFonts w:eastAsia="Calibri"/>
        </w:rPr>
        <w:t>UEs are able to tolerate a differential delay inherent in the GEO and NGSO networks</w:t>
      </w:r>
    </w:p>
    <w:p w14:paraId="49290CC9" w14:textId="77777777" w:rsidR="00597D35" w:rsidRDefault="00597D35" w:rsidP="00597D35">
      <w:pPr>
        <w:numPr>
          <w:ilvl w:val="0"/>
          <w:numId w:val="15"/>
        </w:numPr>
        <w:rPr>
          <w:rFonts w:eastAsia="Calibri"/>
        </w:rPr>
      </w:pPr>
      <w:r>
        <w:rPr>
          <w:rFonts w:eastAsia="Calibri"/>
        </w:rPr>
        <w:lastRenderedPageBreak/>
        <w:t>GEO satellites provide broad coverage via (potentially) spot beams or regional beams</w:t>
      </w:r>
    </w:p>
    <w:p w14:paraId="46DC590E" w14:textId="77777777" w:rsidR="00597D35" w:rsidRDefault="00597D35" w:rsidP="00597D35">
      <w:pPr>
        <w:numPr>
          <w:ilvl w:val="0"/>
          <w:numId w:val="15"/>
        </w:numPr>
        <w:rPr>
          <w:rFonts w:eastAsia="Calibri"/>
        </w:rPr>
      </w:pPr>
      <w:r>
        <w:rPr>
          <w:rFonts w:eastAsia="Calibri"/>
        </w:rPr>
        <w:t>NGSO satellites with focused coverage via on-demand spot beams</w:t>
      </w:r>
    </w:p>
    <w:p w14:paraId="0E51465B" w14:textId="77777777" w:rsidR="00597D35" w:rsidRDefault="00597D35" w:rsidP="00597D35">
      <w:pPr>
        <w:numPr>
          <w:ilvl w:val="0"/>
          <w:numId w:val="15"/>
        </w:numPr>
        <w:rPr>
          <w:rFonts w:eastAsia="Calibri"/>
        </w:rPr>
      </w:pPr>
      <w:r w:rsidRPr="3243BDAE">
        <w:rPr>
          <w:rFonts w:eastAsia="Calibri"/>
        </w:rPr>
        <w:t>A network plan that deconflicts frequency allocations between the GEO and NGSO satellites.</w:t>
      </w:r>
    </w:p>
    <w:p w14:paraId="5F04C37C" w14:textId="77777777" w:rsidR="00597D35" w:rsidRDefault="00597D35" w:rsidP="00597D35">
      <w:pPr>
        <w:numPr>
          <w:ilvl w:val="0"/>
          <w:numId w:val="1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54CC4F40" w14:textId="77777777" w:rsidR="00597D35" w:rsidRDefault="00597D35" w:rsidP="00597D35">
      <w:pPr>
        <w:numPr>
          <w:ilvl w:val="0"/>
          <w:numId w:val="15"/>
        </w:numPr>
        <w:rPr>
          <w:rFonts w:eastAsia="Calibri"/>
        </w:rPr>
      </w:pPr>
      <w:r w:rsidRPr="3243BDAE">
        <w:rPr>
          <w:rFonts w:eastAsia="Calibri"/>
        </w:rPr>
        <w:t>The different satellite orbits employed by the network may be supported by the same or different RAT types</w:t>
      </w:r>
    </w:p>
    <w:p w14:paraId="65904743" w14:textId="77777777" w:rsidR="00F2374C" w:rsidRDefault="000B6DC2" w:rsidP="00597D35">
      <w:pPr>
        <w:numPr>
          <w:ilvl w:val="0"/>
          <w:numId w:val="15"/>
        </w:numPr>
      </w:pPr>
      <w:r>
        <w:t>The network should be aware of when to tell the UE to move to a NGSO satellite connection.</w:t>
      </w:r>
    </w:p>
    <w:p w14:paraId="6B0ACB0D" w14:textId="1DC61B11" w:rsidR="00992137" w:rsidRPr="000D6532" w:rsidRDefault="00570AE6" w:rsidP="00992137">
      <w:pPr>
        <w:pStyle w:val="Heading3"/>
        <w:rPr>
          <w:lang w:val="en-GB"/>
        </w:rPr>
      </w:pPr>
      <w:r w:rsidRPr="24EF730C">
        <w:rPr>
          <w:lang w:val="en-GB"/>
        </w:rPr>
        <w:t>2</w:t>
      </w:r>
      <w:r w:rsidR="00992137" w:rsidRPr="24EF730C">
        <w:rPr>
          <w:lang w:val="en-GB"/>
        </w:rPr>
        <w:t>.</w:t>
      </w:r>
      <w:r w:rsidR="27A1B222" w:rsidRPr="24EF730C">
        <w:rPr>
          <w:lang w:val="en-GB"/>
        </w:rPr>
        <w:t>5</w:t>
      </w:r>
      <w:r w:rsidR="00992137" w:rsidRPr="24EF730C">
        <w:rPr>
          <w:lang w:val="en-GB"/>
        </w:rPr>
        <w:t>.3</w:t>
      </w:r>
      <w:r>
        <w:tab/>
      </w:r>
      <w:r w:rsidR="00992137" w:rsidRPr="24EF730C">
        <w:rPr>
          <w:lang w:val="en-GB"/>
        </w:rPr>
        <w:t>Service Flows</w:t>
      </w:r>
    </w:p>
    <w:p w14:paraId="1C30ED78" w14:textId="77777777" w:rsidR="000E5D9B" w:rsidRDefault="000E5D9B" w:rsidP="000E5D9B">
      <w:pPr>
        <w:numPr>
          <w:ilvl w:val="0"/>
          <w:numId w:val="14"/>
        </w:numPr>
      </w:pPr>
      <w:r>
        <w:t>UE enters sleep mode</w:t>
      </w:r>
    </w:p>
    <w:p w14:paraId="1C12E2AC" w14:textId="77777777" w:rsidR="000E5D9B" w:rsidRDefault="000E5D9B" w:rsidP="000E5D9B">
      <w:pPr>
        <w:numPr>
          <w:ilvl w:val="0"/>
          <w:numId w:val="14"/>
        </w:numPr>
      </w:pPr>
      <w:r>
        <w:t>UE wakes ups periodically and establishes connection with a GEO</w:t>
      </w:r>
    </w:p>
    <w:p w14:paraId="1B8E9E4E" w14:textId="77777777" w:rsidR="000E5D9B" w:rsidRDefault="000E5D9B" w:rsidP="000E5D9B">
      <w:pPr>
        <w:numPr>
          <w:ilvl w:val="0"/>
          <w:numId w:val="14"/>
        </w:numPr>
      </w:pPr>
      <w:r>
        <w:t>GEO informs UE of whether it needs to establish a connection</w:t>
      </w:r>
    </w:p>
    <w:p w14:paraId="495BC431" w14:textId="77777777" w:rsidR="000E5D9B" w:rsidRDefault="000E5D9B" w:rsidP="000E5D9B">
      <w:pPr>
        <w:numPr>
          <w:ilvl w:val="0"/>
          <w:numId w:val="14"/>
        </w:numPr>
      </w:pPr>
      <w:r>
        <w:t>If there is no need to establish connection, UE goes back to sleep</w:t>
      </w:r>
    </w:p>
    <w:p w14:paraId="60826BEF" w14:textId="1A1B5462" w:rsidR="000E5D9B" w:rsidRDefault="000E5D9B" w:rsidP="24EF730C">
      <w:pPr>
        <w:numPr>
          <w:ilvl w:val="0"/>
          <w:numId w:val="14"/>
        </w:numPr>
      </w:pPr>
      <w:r>
        <w:t xml:space="preserve">If there </w:t>
      </w:r>
      <w:r w:rsidR="00EF685E">
        <w:t>is</w:t>
      </w:r>
      <w:r>
        <w:t xml:space="preserve"> a need to establish a connection, UE exists sleep mode and establishes a connection with NGSO</w:t>
      </w:r>
    </w:p>
    <w:p w14:paraId="06738B64" w14:textId="4458E1A8" w:rsidR="00992137" w:rsidRPr="000D6532" w:rsidRDefault="00570AE6" w:rsidP="00992137">
      <w:pPr>
        <w:pStyle w:val="Heading3"/>
        <w:rPr>
          <w:lang w:val="en-GB"/>
        </w:rPr>
      </w:pPr>
      <w:r w:rsidRPr="24EF730C">
        <w:rPr>
          <w:lang w:val="en-GB"/>
        </w:rPr>
        <w:t>2</w:t>
      </w:r>
      <w:r w:rsidR="00992137" w:rsidRPr="24EF730C">
        <w:rPr>
          <w:lang w:val="en-GB"/>
        </w:rPr>
        <w:t>.</w:t>
      </w:r>
      <w:r w:rsidR="02785FC4" w:rsidRPr="24EF730C">
        <w:rPr>
          <w:lang w:val="en-GB"/>
        </w:rPr>
        <w:t>5</w:t>
      </w:r>
      <w:r w:rsidR="00992137" w:rsidRPr="24EF730C">
        <w:rPr>
          <w:lang w:val="en-GB"/>
        </w:rPr>
        <w:t>.4</w:t>
      </w:r>
      <w:r>
        <w:tab/>
      </w:r>
      <w:r w:rsidR="00992137" w:rsidRPr="24EF730C">
        <w:rPr>
          <w:lang w:val="en-GB"/>
        </w:rPr>
        <w:t>Post-conditions</w:t>
      </w:r>
    </w:p>
    <w:p w14:paraId="2357A8D6" w14:textId="77777777" w:rsidR="000E5D9B" w:rsidRPr="000D6532" w:rsidRDefault="000E5D9B" w:rsidP="00992137">
      <w:pPr>
        <w:rPr>
          <w:rFonts w:eastAsia="Calibri"/>
        </w:rPr>
      </w:pPr>
      <w:r>
        <w:t>UE is in appropriate sleep mode or active communications mode</w:t>
      </w:r>
    </w:p>
    <w:p w14:paraId="74F4F095" w14:textId="2807DDDA" w:rsidR="00992137" w:rsidRPr="000D6532" w:rsidRDefault="00570AE6" w:rsidP="00992137">
      <w:pPr>
        <w:pStyle w:val="Heading3"/>
        <w:rPr>
          <w:lang w:val="en-GB"/>
        </w:rPr>
      </w:pPr>
      <w:r w:rsidRPr="24EF730C">
        <w:rPr>
          <w:lang w:val="en-GB"/>
        </w:rPr>
        <w:t>2</w:t>
      </w:r>
      <w:r w:rsidR="00992137" w:rsidRPr="24EF730C">
        <w:rPr>
          <w:lang w:val="en-GB"/>
        </w:rPr>
        <w:t>.</w:t>
      </w:r>
      <w:r w:rsidR="600FDC6E" w:rsidRPr="24EF730C">
        <w:rPr>
          <w:lang w:val="en-GB"/>
        </w:rPr>
        <w:t>5</w:t>
      </w:r>
      <w:r w:rsidR="00992137" w:rsidRPr="24EF730C">
        <w:rPr>
          <w:lang w:val="en-GB"/>
        </w:rPr>
        <w:t>.5</w:t>
      </w:r>
      <w:r>
        <w:tab/>
      </w:r>
      <w:r w:rsidR="00992137" w:rsidRPr="24EF730C">
        <w:rPr>
          <w:lang w:val="en-GB"/>
        </w:rPr>
        <w:t>Existing features partly or fully covering the use case functionality</w:t>
      </w:r>
    </w:p>
    <w:p w14:paraId="392A9D37" w14:textId="25810234" w:rsidR="00E53B32" w:rsidRPr="000D6532" w:rsidRDefault="00E53B32" w:rsidP="00992137">
      <w:pPr>
        <w:rPr>
          <w:rFonts w:eastAsia="Calibri"/>
        </w:rPr>
      </w:pPr>
      <w:r>
        <w:t xml:space="preserve">3GPP </w:t>
      </w:r>
      <w:proofErr w:type="spellStart"/>
      <w:r>
        <w:t>Rel</w:t>
      </w:r>
      <w:proofErr w:type="spellEnd"/>
      <w:r>
        <w:t xml:space="preserve"> 19 NTN features which support the use of satellites shall cover the use case partially.</w:t>
      </w:r>
    </w:p>
    <w:p w14:paraId="32DE2B50" w14:textId="53B942AA" w:rsidR="00992137" w:rsidRPr="000D6532" w:rsidRDefault="00570AE6" w:rsidP="00992137">
      <w:pPr>
        <w:pStyle w:val="Heading3"/>
        <w:rPr>
          <w:lang w:val="en-GB"/>
        </w:rPr>
      </w:pPr>
      <w:r w:rsidRPr="24EF730C">
        <w:rPr>
          <w:lang w:val="en-GB"/>
        </w:rPr>
        <w:t>2</w:t>
      </w:r>
      <w:r w:rsidR="00992137" w:rsidRPr="24EF730C">
        <w:rPr>
          <w:lang w:val="en-GB"/>
        </w:rPr>
        <w:t>.</w:t>
      </w:r>
      <w:r w:rsidR="48BACDA9" w:rsidRPr="24EF730C">
        <w:rPr>
          <w:lang w:val="en-GB"/>
        </w:rPr>
        <w:t>5</w:t>
      </w:r>
      <w:r w:rsidR="00992137" w:rsidRPr="24EF730C">
        <w:rPr>
          <w:lang w:val="en-GB"/>
        </w:rPr>
        <w:t>.6</w:t>
      </w:r>
      <w:r>
        <w:tab/>
      </w:r>
      <w:r w:rsidR="00992137" w:rsidRPr="24EF730C">
        <w:rPr>
          <w:lang w:val="en-GB"/>
        </w:rPr>
        <w:t>Potential New Requirements needed to support the use case</w:t>
      </w:r>
    </w:p>
    <w:p w14:paraId="29A74473" w14:textId="2E217C00" w:rsidR="000E5D9B" w:rsidRDefault="0089768F" w:rsidP="00992137">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t>support a mechanism for the</w:t>
      </w:r>
      <w:r w:rsidR="000E5D9B">
        <w:t xml:space="preserve"> network to configure sleep period of UE</w:t>
      </w:r>
    </w:p>
    <w:p w14:paraId="10F9CC18" w14:textId="559EC864" w:rsidR="000E5D9B" w:rsidRPr="000E5D9B" w:rsidRDefault="0089768F" w:rsidP="00992137">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002</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t>support a mechanism</w:t>
      </w:r>
      <w:r w:rsidRPr="001335B1">
        <w:rPr>
          <w:rFonts w:hint="eastAsia"/>
          <w:noProof/>
          <w:lang w:val="en-US" w:eastAsia="zh-CN"/>
        </w:rPr>
        <w:t xml:space="preserve"> </w:t>
      </w:r>
      <w:r>
        <w:t>for the</w:t>
      </w:r>
      <w:r w:rsidR="000E5D9B">
        <w:t xml:space="preserve"> GEO </w:t>
      </w:r>
      <w:r>
        <w:t xml:space="preserve">satellite access </w:t>
      </w:r>
      <w:r w:rsidR="000E5D9B">
        <w:t>to inform specific UE or group of UEs on whether there is available data for it/them</w:t>
      </w:r>
    </w:p>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4BBB"/>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2AC4"/>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D35"/>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77702"/>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7861"/>
    <w:rsid w:val="008021AD"/>
    <w:rsid w:val="008032C6"/>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90A6C"/>
    <w:rsid w:val="0089183A"/>
    <w:rsid w:val="0089768F"/>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B0B05"/>
    <w:rsid w:val="00AC0DF5"/>
    <w:rsid w:val="00AC2BAF"/>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3DD8"/>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EF685E"/>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57CC"/>
    <w:rsid w:val="00F57DEE"/>
    <w:rsid w:val="00F613B4"/>
    <w:rsid w:val="00F62BF7"/>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3</cp:revision>
  <dcterms:created xsi:type="dcterms:W3CDTF">2024-08-20T08:26:00Z</dcterms:created>
  <dcterms:modified xsi:type="dcterms:W3CDTF">2024-08-20T08:36:00Z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